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rouge et fort nuancée allant de rouge, rouge-brun jusqu’au bleu-vi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 &lt; 4 kg/(m².min) Classe IW3 (absorption normal)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