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(parement intérieur et/ou extérieur) est érigée en brique entière non-sablée moulée à la presse sans nervures avec une structure très inégale et brute. Quelques briques ont un aspect veldbrand très brut et surcuit à cause de la réduction naturelle au charbon. Quelques côtés visibles de la brique contiennent aussi des restants de charbon et des traces de la pose manuelle. La couleur en masse est rouge et fort nuancée allant de rouge, rouge-brun jusqu’au bleu-violet avec un léger aspect veldbrand à cause de la réduction naturelle au charbon et une nuance or jaune légère.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non-sablé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*220x70x54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66 (12 mm)</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74 (6 mm)</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*215x100x65 mm</w:t>
            </w:r>
          </w:p>
        </w:tc>
        <w:tc>
          <w:p>
            <w:r>
              <w:rPr>
                <w:sz w:val="14"/>
                <w:rFonts w:ascii="Myriad Pro Light"/>
                <w:tcPr>
                  <w:vAlign w:val="center"/>
                </w:tcPr>
              </w:rPr>
              <w:t>- Sur demande &gt; 2000 m²</w:t>
            </w:r>
          </w:p>
        </w:tc>
      </w:tr>
      <w:tr>
        <w:tc>
          <w:p>
            <w:r>
              <w:rPr>
                <w:sz w:val="14"/>
                <w:rFonts w:ascii="Myriad Pro Light"/>
                <w:tcPr>
                  <w:vAlign w:val="center"/>
                </w:tcPr>
              </w:rPr>
              <w:t>Tolérance de taille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0,60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r>
        <w:tc>
          <w:p>
            <w:r>
              <w:rPr>
                <w:sz w:val="14"/>
                <w:rFonts w:ascii="Myriad Pro Light"/>
                <w:tcPr>
                  <w:vAlign w:val="center"/>
                  <w:tcW w:w="1700" w:type="dxa"/>
                </w:tcPr>
              </w:rPr>
              <w:t>Caractéristiques</w:t>
            </w:r>
          </w:p>
        </w:tc>
        <w:tc>
          <w:p>
            <w:r>
              <w:rPr>
                <w:sz w:val="14"/>
                <w:rFonts w:ascii="Myriad Pro Light"/>
                <w:tcPr>
                  <w:vAlign w:val="center"/>
                  <w:tcW w:w="9060" w:type="dxa"/>
                </w:tcPr>
              </w:rP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 propriétés supplémentaires selon BRL 52230 pour les Pays-Bas</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NL BSB certificat:</w:t>
            </w:r>
          </w:p>
        </w:tc>
        <w:tc>
          <w:p>
            <w:r>
              <w:rPr>
                <w:sz w:val="14"/>
                <w:rFonts w:ascii="Myriad Pro Light"/>
                <w:tcPr>
                  <w:vAlign w:val="center"/>
                </w:tcPr>
              </w:rPr>
              <w:t>certificat IKB 1494 </w:t>
            </w:r>
          </w:p>
        </w:tc>
      </w:tr>
    </w:tbl>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&lt; 4 kg/(m².min) Classe IW3 (absorption normale)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Brick P</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