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rouge-violet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1,5 kg/(m².min) Classe IW2 (absorption modérée)</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