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Olive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Gris clair</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La brique est cuite pour une deuxième fois sous une atmosphère réduite.</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*212x51x104 mm</w:t>
            </w:r>
          </w:p>
        </w:tc>
        <w:tc>
          <w:p>
            <w:r>
              <w:rPr>
                <w:sz w:val="14"/>
                <w:rFonts w:ascii="Myriad Pro Light"/>
                <w:tcPr>
                  <w:vAlign w:val="center"/>
                </w:tcPr>
              </w:rPr>
              <w:t>sur demande pour projets &gt; 2000 m</w:t>
            </w:r>
          </w:p>
        </w:tc>
      </w:tr>
      <w:tr>
        <w:tc>
          <w:p>
            <w:r>
              <w:rPr>
                <w:sz w:val="14"/>
                <w:rFonts w:ascii="Myriad Pro Light"/>
                <w:tcPr>
                  <w:vAlign w:val="center"/>
                </w:tcPr>
              </w:rPr>
              <w:t>Quantité / m² avec un joint traditionnel</w:t>
            </w:r>
          </w:p>
        </w:tc>
        <w:tc>
          <w:p>
            <w:r>
              <w:rPr>
                <w:sz w:val="14"/>
                <w:rFonts w:ascii="Myriad Pro Light"/>
                <w:tcPr>
                  <w:vAlign w:val="center"/>
                </w:tcPr>
              </w:rPr>
              <w:t>ca. 89</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Olive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