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Le revêtement (ensemble constitué des pavés en terre cuite Olive de Vande Moortel, jointoiement, du lit de pose, de la fondation et de l’éventuelle sous-fondation) possède une perméabilité de surface &gt; 5,4*10-5 m/s.</w:t>
      </w:r>
    </w:p>
    <w:p w:rsidR="00362EC5" w:rsidP="00362EC5" w:rsidRDefault="00362EC5" w14:paraId="198A92FA" w14:textId="433832DF">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La couleur est nuancée gris claire,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La forme est vieillie et légèrement irrégulière.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et du label Benor,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*218x52x72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85</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caractéristique</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 NBN EN 771</w:t>
            </w:r>
          </w:p>
        </w:tc>
        <w:tc>
          <w:p>
            <w:r>
              <w:rPr>
                <w:sz w:val="14"/>
                <w:rFonts w:ascii="Myriad Pro Light"/>
                <w:tcPr>
                  <w:vAlign w:val="center"/>
                </w:tcPr>
              </w:rPr>
              <w:t>Classe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Dimensions*</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POSE</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Les pavés en terre cuite sont posés sur chant. Pour un pavage perméable, la pente peut être limitée à 1 % afin de permettre l'infiltration. Les pavés en terre cuite sont posés librement les uns contre les autres avec un joint minimal (2 à 3 mm), occasionnellement avec un joint légèrement plus large afin de respecter l'appareillage.</w:t>
        <w:br/>
        <w:t/>
        <w:br/>
        <w:t>Avant le damage, les pavés sont ensablés avec du H2O Clay Paving Sand de Vande Moortel. Ce sable a une perméabilité &gt; 5,4*10-5 m/s.</w:t>
        <w:br/>
        <w:t>La stabilité du filtre de ce sable est adaptée au lit de pose en Vande Moortel H2O Bedding Course.</w:t>
        <w:br/>
        <w:t>Ce sable est introduit entre les pavés jusqu'à ce que ceux-ci soient stables et serrés de sorte qu'ils ne puissent plus être pressés l'un contre l'autre lors du damage. Le damage se fait avec une semelle en caoutchouc sous la plaque vibrante pour éviter d'endommager les pavés. Après le damage, il convient d'étaler à nouveau du Vande Moortel H2O Clay Paving Sand sur toute la surface et de brosser. Ce processus doit être répété jusqu'à ce que les joints soient complètement remplis pour que plus aucun pavé ne puisse bouger. Ce n’est qu’alors que le pavage est prêt pour la mise en service. </w:t>
      </w:r>
      <w:r w:rsidR="00461C91">
        <w:rPr>
          <w:color w:val="111111"/>
          <w:sz w:val="16"/>
        </w:rPr>
        <w:br/>
      </w:r>
    </w:p>
    <w:p w:rsidR="00852C38" w:rsidP="00852C38" w:rsidRDefault="00852C38" w14:paraId="37F21B42" w14:textId="2CCBF522">
      <w:pPr>
        <w:pStyle w:val="Kop1"/>
      </w:pPr>
      <w:r>
        <w:rPr>
          <w:noProof/>
          <w:color w:val="111111"/>
        </w:rPr>
        <w:t>APPLICABILITÉ</w:t>
      </w:r>
    </w:p>
    <w:p w:rsidR="00852C38" w:rsidP="00852C38" w:rsidRDefault="00852C38" w14:paraId="5E0C973B" w14:textId="670B082E">
      <w:pPr>
        <w:spacing w:before="5" w:line="264" w:lineRule="auto"/>
        <w:ind w:left="464" w:right="463"/>
        <w:rPr>
          <w:color w:val="111111"/>
          <w:sz w:val="16"/>
        </w:rPr>
      </w:pPr>
      <w:r>
        <w:rPr>
          <w:noProof/>
          <w:color w:val="111111"/>
          <w:sz w:val="16"/>
        </w:rPr>
        <w:t>L'utilisation de pavés en terre cuite perméables à l'eau est toutefois limitée aux catégories de trafic CRR II, III et IV. En pratique, cela représente un maximum de 100 camions (&gt;3,5 tonnes) et 5000 véhicules légers (&lt;3,5 tonnes) par jour. </w:t>
        <w:br/>
        <w:t>La largeur relativement étroite des joints permet de garder le revêtement facilement praticable et carrossable, avec un confort acoustique et de marche normal. </w:t>
        <w:br/>
        <w:t>Le pavé en terre cuite conserve également sa solidité habituelle et sa résistance aux acides et aux sels de déneigement.</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MATÉRIAUX</w:t>
      </w:r>
      <w:r w:rsidR="002F4419">
        <w:rPr>
          <w:color w:val="111111"/>
        </w:rPr>
        <w:br/>
      </w:r>
    </w:p>
    <w:p w:rsidR="00420024" w:rsidP="008742C3" w:rsidRDefault="00420024" w14:paraId="39DB7440" w14:textId="5F7FF1FA">
      <w:pPr>
        <w:pStyle w:val="Kop1"/>
        <w:keepLines/>
        <w:widowControl/>
      </w:pPr>
      <w:r>
        <w:rPr>
          <w:noProof/>
          <w:color w:val="111111"/>
        </w:rPr>
        <w:t>Remplissage des joints</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est un sable concassé naturellement pur, issu du processus de concassage de la roche naturelle. Sa forme naturelle est anguleuse et pointue, avec une quasi-absence de fines inférieures à 0,063 mm (NBN EN 933-1) et une granulométrie jusqu’à 2 mm. La couleur est gris foncé à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Conditionnement et consommation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Conditionnement</w:t>
            </w:r>
          </w:p>
        </w:tc>
        <w:tc>
          <w:p>
            <w:r>
              <w:rPr>
                <w:sz w:val="14"/>
                <w:rFonts w:ascii="Myriad Pro Light"/>
                <w:b/>
                <w:tcPr>
                  <w:vAlign w:val="center"/>
                </w:tcPr>
              </w:rPr>
              <w:t>Par sac de 25 kg</w:t>
            </w:r>
          </w:p>
        </w:tc>
      </w:tr>
      <w:tr>
        <w:tc>
          <w:p>
            <w:r>
              <w:rPr>
                <w:sz w:val="14"/>
                <w:rFonts w:ascii="Myriad Pro Light"/>
                <w:tcPr>
                  <w:vAlign w:val="center"/>
                </w:tcPr>
              </w:rPr>
              <w:t>Consommation</w:t>
            </w:r>
          </w:p>
        </w:tc>
        <w:tc>
          <w:p>
            <w:r>
              <w:rPr>
                <w:sz w:val="14"/>
                <w:rFonts w:ascii="Myriad Pro Light"/>
                <w:tcPr>
                  <w:vAlign w:val="center"/>
                </w:tcPr>
              </w:rPr>
              <w:t> </w:t>
            </w:r>
          </w:p>
        </w:tc>
      </w:tr>
      <w:tr>
        <w:tc>
          <w:p>
            <w:r>
              <w:rPr>
                <w:sz w:val="14"/>
                <w:rFonts w:ascii="Myriad Pro Light"/>
                <w:tcPr>
                  <w:vAlign w:val="center"/>
                </w:tcPr>
              </w:rPr>
              <w:t>SeptimA / Elegantia</w:t>
            </w:r>
          </w:p>
        </w:tc>
        <w:tc>
          <w:p>
            <w:r>
              <w:rPr>
                <w:sz w:val="14"/>
                <w:rFonts w:ascii="Myriad Pro Light"/>
                <w:tcPr>
                  <w:vAlign w:val="center"/>
                </w:tcPr>
              </w:rPr>
              <w:t>4,0 m² par 25 kg</w:t>
            </w:r>
          </w:p>
        </w:tc>
      </w:tr>
      <w:tr>
        <w:tc>
          <w:p>
            <w:r>
              <w:rPr>
                <w:sz w:val="14"/>
                <w:rFonts w:ascii="Myriad Pro Light"/>
                <w:tcPr>
                  <w:vAlign w:val="center"/>
                </w:tcPr>
              </w:rPr>
              <w:t>Ancienne Belgique</w:t>
            </w:r>
          </w:p>
        </w:tc>
        <w:tc>
          <w:p>
            <w:r>
              <w:rPr>
                <w:sz w:val="14"/>
                <w:rFonts w:ascii="Myriad Pro Light"/>
                <w:tcPr>
                  <w:vAlign w:val="center"/>
                </w:tcPr>
              </w:rPr>
              <w:t>3,0 m² par 25 kg</w:t>
            </w:r>
          </w:p>
        </w:tc>
      </w:tr>
      <w:tr>
        <w:tc>
          <w:p>
            <w:r>
              <w:rPr>
                <w:sz w:val="14"/>
                <w:rFonts w:ascii="Myriad Pro Light"/>
                <w:tcPr>
                  <w:vAlign w:val="center"/>
                </w:tcPr>
              </w:rPr>
              <w:t>DecimA WF / DF            </w:t>
            </w:r>
          </w:p>
        </w:tc>
        <w:tc>
          <w:p>
            <w:r>
              <w:rPr>
                <w:sz w:val="14"/>
                <w:rFonts w:ascii="Myriad Pro Light"/>
                <w:tcPr>
                  <w:vAlign w:val="center"/>
                </w:tcPr>
              </w:rPr>
              <w:t>2,5 m² par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Lit de pose</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Pour le lit de pose, il est recommandé d'utiliser le H2O Bedding Course de Vande Moortel. Ce sable concassé a une fraction 2/4 et la qualité nécessaire pour conserver un bonne perméabilité à l'eau dans le temps. Cela signifie que le coefficient de Los Angeles (LA - résistance à la fragmentation) ne doit pas dépasser 20, et que le coefficient Micro-Deval (MDE - résistance à l'usure) ne doit pas dépasser 15. </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Conditionnement et consommation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Conditionnement</w:t>
            </w:r>
          </w:p>
        </w:tc>
        <w:tc>
          <w:p>
            <w:r>
              <w:rPr>
                <w:sz w:val="14"/>
                <w:rFonts w:ascii="Myriad Pro Light"/>
                <w:b/>
                <w:tcPr>
                  <w:vAlign w:val="center"/>
                </w:tcPr>
              </w:rPr>
              <w:t>Par sac de 40 kg</w:t>
            </w:r>
          </w:p>
        </w:tc>
      </w:tr>
      <w:tr>
        <w:tc>
          <w:p>
            <w:r>
              <w:rPr>
                <w:sz w:val="14"/>
                <w:rFonts w:ascii="Myriad Pro Light"/>
                <w:tcPr>
                  <w:vAlign w:val="center"/>
                </w:tcPr>
              </w:rPr>
              <w:t>Consommation (épaisseur 3 cm après compactage)</w:t>
            </w:r>
          </w:p>
        </w:tc>
        <w:tc>
          <w:p>
            <w:r>
              <w:rPr>
                <w:sz w:val="14"/>
                <w:rFonts w:ascii="Myriad Pro Light"/>
                <w:tcPr>
                  <w:vAlign w:val="center"/>
                </w:tcPr>
              </w:rPr>
              <w:t>Env. 0,85 m² par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Fondation drainante en empierrements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Pour les zones à forte intensité de trafic, une fondation drainante en béton maigre est la plus adaptée. Pour toutes les autres applications, on peut utiliser une fondation non liée en empierrements, de préférence continue et perméable à l'eau, ayant une capacité portante suffisante. </w:t>
        <w:br/>
        <w:t>En Flandre : selon SB250 version 4.1.a. chapitre 5-4.13 et chapitre 3-7.1.2.15</w:t>
        <w:br/>
        <w:t>A Bruxelles : selon le CCT2015, chapitre E.4.2</w:t>
        <w:br/>
        <w:t>En Wallonie : selon Qualiroutes 20 juillet 2021, chapitre F.4.2.1 (moyennant limitation de la teneur en fines) ou selon le chapitre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Complément pour usage de béton maigre drainant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Dans le cas d'une fondation en béton maigre drainant,  l'avis du CRR (note 04/05/06 2022) prévoit un géotextile selon PTV 829 pour empêcher l'infiltration de particules fines venant du lit de pose. </w:t>
        <w:br/>
        <w:t>En Flandre : selon le SB250 version 4.1.a, chapitre 5-4.10</w:t>
        <w:br/>
        <w:t>A Bruxelles : selon le CCT2015, chapitre E.4.5</w:t>
        <w:br/>
        <w:t>En Wallonie : selon Qualiroutes 20 juillet 2021, chapitre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Sous-fondation drainante en empierrements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Il est recommandé d'utiliser les mêmes matériaux que pour la fondation en empierrements. Les déchets mixtes ou les déchets de maçonnerie ne sont donc pas recommandés. </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Géotetextile - Géogrille</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En outre, un géotextile et une géogrille peuvent être posés sous la sous-fondation pour améliorer la capacité portante en cas de sous-sol saturé. </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ENTRETIEN</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Les pavés en terre cuite perméables nécessitent peu d'entretien. Le nettoyage peut se faire avec un nettoyeur haute pression. Le matériau de jointoiement qui se détache par usure est retiré du pavage. Le remplissage des joints doit être vérifié après le nettoyage et réparé si nécessaire.</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Pavé en terre cuite perméable Olive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03-04-2025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