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ET COULEUR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Par défaut, toutes nos plaquettes de parement sont sciées à env. 20 mm. Outre la plaquette classique, vous pouvez également obtenir des plaquettes d’angle et des plaquettes de semelle d’angle de la même épaisseur. </w:t>
        <w:br/>
        <w:t>Sur demande, nous examinerons les possibilités pour scier d’autres pièces de raccord et épaisseurs. Les spécifications techniques des plaquettes sont identiques à celles de la brique à partir de laquelle elles sont sciées.  Vous trouverez ci-dessous les spécifications techniques de la brique de base.  La teinte est anthracite et brun dans la masse.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CARACTÉRISTIQUES TECHNIQUES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Les briques bénéficient le label « CE » et présentent les caractéristiques suivantes 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Marquage CE selon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*212x20x63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traditionnel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59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Tolérance de taille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Masse volumique brute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(24 heures)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12%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initiale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Perméabilité à la vapeur d'eau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Propriétés thermiques (λ10, sec,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0,60 W/mK  (tableau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Durabilité (gel / dégel / résistance)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F2 - très résistant au gel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Sels activement solubles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Réaction au feu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A1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Force de liaison (conformément à l'annexe C de la norme EN998-2: 2003)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(performance non déterminée)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Benormerk selon le PTV 23-002 (propriétés supplémentaires requises pour la Belgique)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Fleurs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pas d’efflorescence (selon NBN B24-209) 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résistance au gel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résistance élevée au gel (selon NBN B27-009) 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Photo du produit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CREA 7021 Plaquette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Fiche technique / Texte du cahier des charges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PLAQUETTES DE PAREMENT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CATÉGORIE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