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gris-vert-brun à noir-vert nuancée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*240x20x38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1,5 &lt; 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4kg/(m².min) Classe IW3 (absorption normale)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 6012 Plaquette 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HD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