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couleur en masse est rouge et fort nuancée allant de rouge, rouge-brun jusqu’au bleu-violet.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*210x20x62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mince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Tolérance de taille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Tm (+/-8/6/4)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kg/(m².min) Classe IW3 (absorption normal)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Brick E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