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couleur en masse est rouge-brun et va de auberginerouge à rouge-brun avec une texture beige-blanche fort nuancée et irrégulière sur la surface contenant des accents jaune clair.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*215x20x65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- Sur demande &gt; 2000 m²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
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min) Classe IW3 (absorption modérée)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Brick B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