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en masse est rouge et fort nuancée allant de rouge, rouge-brun jusqu’au bleu-violet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*220x20x54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 (6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Tm (+/-8/6/4)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kg/(m².min) Classe IW3 (absorption normal)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Brick E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