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couleur en masse est légèrement orange-rouge avec une texture beige-blanc irrégulière sur la surface.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*228x20x55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*215x20x65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- Sur demande &gt; 2000 m²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min) Classe IW3 (absorption normale)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Brick V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